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64" w:rsidRPr="00A55157" w:rsidRDefault="00027964" w:rsidP="00A55157">
      <w:pPr>
        <w:shd w:val="clear" w:color="auto" w:fill="FFFFFF"/>
        <w:spacing w:after="150" w:line="300" w:lineRule="atLeast"/>
        <w:rPr>
          <w:rFonts w:ascii="Helvetica" w:eastAsia="Times New Roman" w:hAnsi="Helvetica" w:cs="Helvetica"/>
          <w:b/>
          <w:bCs/>
          <w:caps/>
          <w:sz w:val="27"/>
          <w:szCs w:val="27"/>
          <w:lang w:eastAsia="it-IT"/>
        </w:rPr>
      </w:pPr>
      <w:r w:rsidRPr="00A55157">
        <w:rPr>
          <w:rFonts w:ascii="Helvetica" w:eastAsia="Times New Roman" w:hAnsi="Helvetica" w:cs="Helvetica"/>
          <w:b/>
          <w:bCs/>
          <w:caps/>
          <w:sz w:val="27"/>
          <w:szCs w:val="27"/>
          <w:lang w:eastAsia="it-IT"/>
        </w:rPr>
        <w:t>PROVA FINALE</w:t>
      </w:r>
    </w:p>
    <w:p w:rsidR="00027964" w:rsidRPr="00A55157" w:rsidRDefault="00027964" w:rsidP="00027964">
      <w:pPr>
        <w:shd w:val="clear" w:color="auto" w:fill="FFFFFF"/>
        <w:spacing w:after="150" w:line="240" w:lineRule="auto"/>
        <w:outlineLvl w:val="3"/>
        <w:rPr>
          <w:rFonts w:ascii="Helvetica" w:eastAsia="Times New Roman" w:hAnsi="Helvetica" w:cs="Helvetica"/>
          <w:b/>
          <w:bCs/>
          <w:caps/>
          <w:sz w:val="23"/>
          <w:szCs w:val="23"/>
          <w:lang w:eastAsia="it-IT"/>
        </w:rPr>
      </w:pPr>
      <w:r w:rsidRPr="00A55157">
        <w:rPr>
          <w:rFonts w:ascii="Helvetica" w:eastAsia="Times New Roman" w:hAnsi="Helvetica" w:cs="Helvetica"/>
          <w:b/>
          <w:bCs/>
          <w:caps/>
          <w:sz w:val="23"/>
          <w:szCs w:val="23"/>
          <w:lang w:eastAsia="it-IT"/>
        </w:rPr>
        <w:t>LAUREE SPECIALISTICHE/MAGISTRALI</w:t>
      </w:r>
    </w:p>
    <w:p w:rsidR="00027964" w:rsidRPr="00A55157" w:rsidRDefault="00027964" w:rsidP="00C95038">
      <w:pPr>
        <w:shd w:val="clear" w:color="auto" w:fill="FFFFFF"/>
        <w:spacing w:after="150" w:line="300" w:lineRule="atLeast"/>
        <w:jc w:val="both"/>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A partire dalla sessione estiva 2013 è prevista la istituzione della figura del Controrelatore per le lauree Magistrali/Specialistiche. Il controrelatore (uno per ciascuna Tesi) sarà scelto di norma tra i componenti della Commissione di Laurea e interverrà con domande in seduta di laurea dopo la presentazione del lavoro da parte del candidato (istituendo quindi una vera “difesa della tesi”). Naturalmente il resto della commissione, a sua volta, potrà porre le domande che riterrà opportune</w:t>
      </w:r>
      <w:r w:rsidR="000B73CB">
        <w:rPr>
          <w:rFonts w:ascii="Helvetica" w:eastAsia="Times New Roman" w:hAnsi="Helvetica" w:cs="Helvetica"/>
          <w:sz w:val="21"/>
          <w:szCs w:val="21"/>
          <w:lang w:eastAsia="it-IT"/>
        </w:rPr>
        <w:t>.</w:t>
      </w:r>
    </w:p>
    <w:p w:rsidR="00027964" w:rsidRPr="00A55157" w:rsidRDefault="00027964" w:rsidP="00C95038">
      <w:pPr>
        <w:shd w:val="clear" w:color="auto" w:fill="FFFFFF"/>
        <w:spacing w:after="150" w:line="300" w:lineRule="atLeast"/>
        <w:jc w:val="both"/>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La prova finale consisterà nell’esposizione pubblica alla presenza della Commissione di Laurea, del contenuto della tesi. La durata di circa 10 minuti per l’esposizione e 10 minuti per le domande del controrelatore e dei membri della commissione.</w:t>
      </w:r>
    </w:p>
    <w:p w:rsidR="00027964" w:rsidRPr="00A55157" w:rsidRDefault="00027964" w:rsidP="00027964">
      <w:pPr>
        <w:shd w:val="clear" w:color="auto" w:fill="FFFFFF"/>
        <w:spacing w:after="150" w:line="240" w:lineRule="auto"/>
        <w:outlineLvl w:val="3"/>
        <w:rPr>
          <w:rFonts w:ascii="Helvetica" w:eastAsia="Times New Roman" w:hAnsi="Helvetica" w:cs="Helvetica"/>
          <w:b/>
          <w:bCs/>
          <w:caps/>
          <w:sz w:val="23"/>
          <w:szCs w:val="23"/>
          <w:lang w:eastAsia="it-IT"/>
        </w:rPr>
      </w:pPr>
      <w:r w:rsidRPr="00A55157">
        <w:rPr>
          <w:rFonts w:ascii="Helvetica" w:eastAsia="Times New Roman" w:hAnsi="Helvetica" w:cs="Helvetica"/>
          <w:b/>
          <w:bCs/>
          <w:caps/>
          <w:sz w:val="23"/>
          <w:szCs w:val="23"/>
          <w:lang w:eastAsia="it-IT"/>
        </w:rPr>
        <w:t>PUNTEGGI</w:t>
      </w:r>
    </w:p>
    <w:p w:rsidR="00027964" w:rsidRPr="00A55157" w:rsidRDefault="00027964" w:rsidP="0099542C">
      <w:pPr>
        <w:shd w:val="clear" w:color="auto" w:fill="FFFFFF"/>
        <w:spacing w:after="150" w:line="300" w:lineRule="atLeast"/>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a.         </w:t>
      </w:r>
      <w:r w:rsidRPr="00A55157">
        <w:rPr>
          <w:rFonts w:ascii="Helvetica" w:eastAsia="Times New Roman" w:hAnsi="Helvetica" w:cs="Helvetica"/>
          <w:b/>
          <w:bCs/>
          <w:sz w:val="21"/>
          <w:szCs w:val="21"/>
          <w:lang w:eastAsia="it-IT"/>
        </w:rPr>
        <w:t>Tesi sperimentali</w:t>
      </w:r>
      <w:r w:rsidRPr="00A55157">
        <w:rPr>
          <w:rFonts w:ascii="Helvetica" w:eastAsia="Times New Roman" w:hAnsi="Helvetica" w:cs="Helvetica"/>
          <w:sz w:val="21"/>
          <w:szCs w:val="21"/>
          <w:lang w:eastAsia="it-IT"/>
        </w:rPr>
        <w:br/>
        <w:t>Al voto base verrà sommato l’incremento premiale, da 0 a 3 punti secondo la seguente formula: </w:t>
      </w:r>
      <w:r w:rsidRPr="00A55157">
        <w:rPr>
          <w:rFonts w:ascii="Helvetica" w:eastAsia="Times New Roman" w:hAnsi="Helvetica" w:cs="Helvetica"/>
          <w:sz w:val="21"/>
          <w:szCs w:val="21"/>
          <w:lang w:eastAsia="it-IT"/>
        </w:rPr>
        <w:br/>
      </w:r>
      <w:r w:rsidRPr="00A55157">
        <w:rPr>
          <w:rFonts w:ascii="Helvetica" w:eastAsia="Times New Roman" w:hAnsi="Helvetica" w:cs="Helvetica"/>
          <w:b/>
          <w:bCs/>
          <w:sz w:val="21"/>
          <w:szCs w:val="21"/>
          <w:lang w:eastAsia="it-IT"/>
        </w:rPr>
        <w:t>I= (M/</w:t>
      </w:r>
      <w:proofErr w:type="gramStart"/>
      <w:r w:rsidRPr="00A55157">
        <w:rPr>
          <w:rFonts w:ascii="Helvetica" w:eastAsia="Times New Roman" w:hAnsi="Helvetica" w:cs="Helvetica"/>
          <w:b/>
          <w:bCs/>
          <w:sz w:val="21"/>
          <w:szCs w:val="21"/>
          <w:lang w:eastAsia="it-IT"/>
        </w:rPr>
        <w:t>11)-</w:t>
      </w:r>
      <w:proofErr w:type="gramEnd"/>
      <w:r w:rsidRPr="00A55157">
        <w:rPr>
          <w:rFonts w:ascii="Helvetica" w:eastAsia="Times New Roman" w:hAnsi="Helvetica" w:cs="Helvetica"/>
          <w:b/>
          <w:bCs/>
          <w:sz w:val="21"/>
          <w:szCs w:val="21"/>
          <w:lang w:eastAsia="it-IT"/>
        </w:rPr>
        <w:t>6</w:t>
      </w:r>
      <w:r w:rsidRPr="00A55157">
        <w:rPr>
          <w:rFonts w:ascii="Helvetica" w:eastAsia="Times New Roman" w:hAnsi="Helvetica" w:cs="Helvetica"/>
          <w:sz w:val="21"/>
          <w:szCs w:val="21"/>
          <w:lang w:eastAsia="it-IT"/>
        </w:rPr>
        <w:t> dove </w:t>
      </w:r>
      <w:r w:rsidRPr="00A55157">
        <w:rPr>
          <w:rFonts w:ascii="Helvetica" w:eastAsia="Times New Roman" w:hAnsi="Helvetica" w:cs="Helvetica"/>
          <w:b/>
          <w:bCs/>
          <w:sz w:val="21"/>
          <w:szCs w:val="21"/>
          <w:lang w:eastAsia="it-IT"/>
        </w:rPr>
        <w:t>I</w:t>
      </w:r>
      <w:r w:rsidRPr="00A55157">
        <w:rPr>
          <w:rFonts w:ascii="Helvetica" w:eastAsia="Times New Roman" w:hAnsi="Helvetica" w:cs="Helvetica"/>
          <w:sz w:val="21"/>
          <w:szCs w:val="21"/>
          <w:lang w:eastAsia="it-IT"/>
        </w:rPr>
        <w:t>: incremento in 110 e </w:t>
      </w:r>
      <w:r w:rsidRPr="00A55157">
        <w:rPr>
          <w:rFonts w:ascii="Helvetica" w:eastAsia="Times New Roman" w:hAnsi="Helvetica" w:cs="Helvetica"/>
          <w:b/>
          <w:bCs/>
          <w:sz w:val="21"/>
          <w:szCs w:val="21"/>
          <w:lang w:eastAsia="it-IT"/>
        </w:rPr>
        <w:t>M</w:t>
      </w:r>
      <w:r w:rsidRPr="00A55157">
        <w:rPr>
          <w:rFonts w:ascii="Helvetica" w:eastAsia="Times New Roman" w:hAnsi="Helvetica" w:cs="Helvetica"/>
          <w:sz w:val="21"/>
          <w:szCs w:val="21"/>
          <w:lang w:eastAsia="it-IT"/>
        </w:rPr>
        <w:t>: media ponderata degli esami fino ad un massimo di 3 in corrispondenza a M=99. Da 99 a 110 3 punti </w:t>
      </w:r>
      <w:r w:rsidRPr="00A55157">
        <w:rPr>
          <w:rFonts w:ascii="Helvetica" w:eastAsia="Times New Roman" w:hAnsi="Helvetica" w:cs="Helvetica"/>
          <w:sz w:val="21"/>
          <w:szCs w:val="21"/>
          <w:lang w:eastAsia="it-IT"/>
        </w:rPr>
        <w:br/>
        <w:t>Il relatore potrà avere a disposizione da 0 a 3 punti.</w:t>
      </w:r>
      <w:r w:rsidRPr="00A55157">
        <w:rPr>
          <w:rFonts w:ascii="Helvetica" w:eastAsia="Times New Roman" w:hAnsi="Helvetica" w:cs="Helvetica"/>
          <w:sz w:val="21"/>
          <w:szCs w:val="21"/>
          <w:lang w:eastAsia="it-IT"/>
        </w:rPr>
        <w:br/>
        <w:t xml:space="preserve">Criteri di valutazione: assiduità, precisione nel lavoro, autonomia, </w:t>
      </w:r>
      <w:proofErr w:type="spellStart"/>
      <w:r w:rsidRPr="00A55157">
        <w:rPr>
          <w:rFonts w:ascii="Helvetica" w:eastAsia="Times New Roman" w:hAnsi="Helvetica" w:cs="Helvetica"/>
          <w:sz w:val="21"/>
          <w:szCs w:val="21"/>
          <w:lang w:eastAsia="it-IT"/>
        </w:rPr>
        <w:t>propositività</w:t>
      </w:r>
      <w:proofErr w:type="spellEnd"/>
      <w:r w:rsidRPr="00A55157">
        <w:rPr>
          <w:rFonts w:ascii="Helvetica" w:eastAsia="Times New Roman" w:hAnsi="Helvetica" w:cs="Helvetica"/>
          <w:sz w:val="21"/>
          <w:szCs w:val="21"/>
          <w:lang w:eastAsia="it-IT"/>
        </w:rPr>
        <w:t>, chiarezza espositiva nella stesura dell’elaborato di tesi.</w:t>
      </w:r>
      <w:r w:rsidRPr="00A55157">
        <w:rPr>
          <w:rFonts w:ascii="Helvetica" w:eastAsia="Times New Roman" w:hAnsi="Helvetica" w:cs="Helvetica"/>
          <w:sz w:val="21"/>
          <w:szCs w:val="21"/>
          <w:lang w:eastAsia="it-IT"/>
        </w:rPr>
        <w:br/>
        <w:t>La commissione avrà a disposizione da 0 a 5 punti, in modo da attribuire un totale di 11 punti. Nella attribuzione del punteggio la commissione valuterà il candidato sulla base della discussione, tenendo altresì presenti altri parametri, quali anno di corso, carriera ecc.</w:t>
      </w:r>
      <w:r w:rsidRPr="00A55157">
        <w:rPr>
          <w:rFonts w:ascii="Helvetica" w:eastAsia="Times New Roman" w:hAnsi="Helvetica" w:cs="Helvetica"/>
          <w:sz w:val="21"/>
          <w:szCs w:val="21"/>
          <w:lang w:eastAsia="it-IT"/>
        </w:rPr>
        <w:br/>
      </w:r>
      <w:proofErr w:type="gramStart"/>
      <w:r w:rsidRPr="00A55157">
        <w:rPr>
          <w:rFonts w:ascii="Helvetica" w:eastAsia="Times New Roman" w:hAnsi="Helvetica" w:cs="Helvetica"/>
          <w:sz w:val="21"/>
          <w:szCs w:val="21"/>
          <w:lang w:eastAsia="it-IT"/>
        </w:rPr>
        <w:t>Si  considerano</w:t>
      </w:r>
      <w:proofErr w:type="gramEnd"/>
      <w:r w:rsidRPr="00A55157">
        <w:rPr>
          <w:rFonts w:ascii="Helvetica" w:eastAsia="Times New Roman" w:hAnsi="Helvetica" w:cs="Helvetica"/>
          <w:sz w:val="21"/>
          <w:szCs w:val="21"/>
          <w:lang w:eastAsia="it-IT"/>
        </w:rPr>
        <w:t xml:space="preserve"> come sperimentali anche tesi che abbiano previsto la raccolta e l’elaborazione di dati (ad es. di tipo epidemiologico).</w:t>
      </w:r>
      <w:r w:rsidRPr="00A55157">
        <w:rPr>
          <w:rFonts w:ascii="Helvetica" w:eastAsia="Times New Roman" w:hAnsi="Helvetica" w:cs="Helvetica"/>
          <w:sz w:val="21"/>
          <w:szCs w:val="21"/>
          <w:lang w:eastAsia="it-IT"/>
        </w:rPr>
        <w:br/>
        <w:t>b.         </w:t>
      </w:r>
      <w:r w:rsidRPr="00A55157">
        <w:rPr>
          <w:rFonts w:ascii="Helvetica" w:eastAsia="Times New Roman" w:hAnsi="Helvetica" w:cs="Helvetica"/>
          <w:b/>
          <w:bCs/>
          <w:sz w:val="21"/>
          <w:szCs w:val="21"/>
          <w:lang w:eastAsia="it-IT"/>
        </w:rPr>
        <w:t>Tesi di ricerca bibliografica (compilative)</w:t>
      </w:r>
      <w:r w:rsidRPr="00A55157">
        <w:rPr>
          <w:rFonts w:ascii="Helvetica" w:eastAsia="Times New Roman" w:hAnsi="Helvetica" w:cs="Helvetica"/>
          <w:sz w:val="21"/>
          <w:szCs w:val="21"/>
          <w:lang w:eastAsia="it-IT"/>
        </w:rPr>
        <w:br/>
        <w:t>Si mantiene il voto base e l’incremento premiale (da 0 a 3 punti, con gli stessi criteri della tesi sperimentale</w:t>
      </w:r>
      <w:proofErr w:type="gramStart"/>
      <w:r w:rsidRPr="00A55157">
        <w:rPr>
          <w:rFonts w:ascii="Helvetica" w:eastAsia="Times New Roman" w:hAnsi="Helvetica" w:cs="Helvetica"/>
          <w:sz w:val="21"/>
          <w:szCs w:val="21"/>
          <w:lang w:eastAsia="it-IT"/>
        </w:rPr>
        <w:t>)</w:t>
      </w:r>
      <w:r w:rsidR="00A55157">
        <w:rPr>
          <w:rFonts w:ascii="Helvetica" w:eastAsia="Times New Roman" w:hAnsi="Helvetica" w:cs="Helvetica"/>
          <w:sz w:val="21"/>
          <w:szCs w:val="21"/>
          <w:lang w:eastAsia="it-IT"/>
        </w:rPr>
        <w:t>.</w:t>
      </w:r>
      <w:r w:rsidRPr="00A55157">
        <w:rPr>
          <w:rFonts w:ascii="Helvetica" w:eastAsia="Times New Roman" w:hAnsi="Helvetica" w:cs="Helvetica"/>
          <w:sz w:val="21"/>
          <w:szCs w:val="21"/>
          <w:lang w:eastAsia="it-IT"/>
        </w:rPr>
        <w:br/>
        <w:t>La</w:t>
      </w:r>
      <w:proofErr w:type="gramEnd"/>
      <w:r w:rsidRPr="00A55157">
        <w:rPr>
          <w:rFonts w:ascii="Helvetica" w:eastAsia="Times New Roman" w:hAnsi="Helvetica" w:cs="Helvetica"/>
          <w:sz w:val="21"/>
          <w:szCs w:val="21"/>
          <w:lang w:eastAsia="it-IT"/>
        </w:rPr>
        <w:t xml:space="preserve"> commissione avrà a disposizione da 0 a 3 punti, sulla base dell’esposizione e tenendo conto di altre possibili </w:t>
      </w:r>
      <w:proofErr w:type="spellStart"/>
      <w:r w:rsidRPr="00A55157">
        <w:rPr>
          <w:rFonts w:ascii="Helvetica" w:eastAsia="Times New Roman" w:hAnsi="Helvetica" w:cs="Helvetica"/>
          <w:sz w:val="21"/>
          <w:szCs w:val="21"/>
          <w:lang w:eastAsia="it-IT"/>
        </w:rPr>
        <w:t>premialità</w:t>
      </w:r>
      <w:proofErr w:type="spellEnd"/>
      <w:r w:rsidRPr="00A55157">
        <w:rPr>
          <w:rFonts w:ascii="Helvetica" w:eastAsia="Times New Roman" w:hAnsi="Helvetica" w:cs="Helvetica"/>
          <w:sz w:val="21"/>
          <w:szCs w:val="21"/>
          <w:lang w:eastAsia="it-IT"/>
        </w:rPr>
        <w:t>, quali laurea in corso. </w:t>
      </w:r>
      <w:r w:rsidRPr="00A55157">
        <w:rPr>
          <w:rFonts w:ascii="Helvetica" w:eastAsia="Times New Roman" w:hAnsi="Helvetica" w:cs="Helvetica"/>
          <w:sz w:val="21"/>
          <w:szCs w:val="21"/>
          <w:lang w:eastAsia="it-IT"/>
        </w:rPr>
        <w:br/>
        <w:t>Il relatore ha a disposizione da 0 a 2 punti, per un totale complessivo di 8 punti assegnabili.</w:t>
      </w:r>
    </w:p>
    <w:p w:rsidR="00027964" w:rsidRPr="00A55157" w:rsidRDefault="00027964" w:rsidP="00027964">
      <w:pPr>
        <w:shd w:val="clear" w:color="auto" w:fill="FFFFFF"/>
        <w:spacing w:after="150" w:line="240" w:lineRule="auto"/>
        <w:outlineLvl w:val="3"/>
        <w:rPr>
          <w:rFonts w:ascii="Helvetica" w:eastAsia="Times New Roman" w:hAnsi="Helvetica" w:cs="Helvetica"/>
          <w:b/>
          <w:bCs/>
          <w:caps/>
          <w:sz w:val="23"/>
          <w:szCs w:val="23"/>
          <w:lang w:eastAsia="it-IT"/>
        </w:rPr>
      </w:pPr>
      <w:r w:rsidRPr="00A55157">
        <w:rPr>
          <w:rFonts w:ascii="Helvetica" w:eastAsia="Times New Roman" w:hAnsi="Helvetica" w:cs="Helvetica"/>
          <w:b/>
          <w:bCs/>
          <w:caps/>
          <w:sz w:val="23"/>
          <w:szCs w:val="23"/>
          <w:lang w:eastAsia="it-IT"/>
        </w:rPr>
        <w:t xml:space="preserve">REGOLE GENERALI SULL’ATTRIBUZIONE DI LODE, MENZIONE E DIGNITÀ DI </w:t>
      </w:r>
      <w:bookmarkStart w:id="0" w:name="_GoBack"/>
      <w:bookmarkEnd w:id="0"/>
      <w:r w:rsidRPr="00A55157">
        <w:rPr>
          <w:rFonts w:ascii="Helvetica" w:eastAsia="Times New Roman" w:hAnsi="Helvetica" w:cs="Helvetica"/>
          <w:b/>
          <w:bCs/>
          <w:caps/>
          <w:sz w:val="23"/>
          <w:szCs w:val="23"/>
          <w:lang w:eastAsia="it-IT"/>
        </w:rPr>
        <w:t>STAMPA</w:t>
      </w:r>
    </w:p>
    <w:p w:rsidR="00027964" w:rsidRPr="00A55157" w:rsidRDefault="00027964" w:rsidP="00027964">
      <w:pPr>
        <w:shd w:val="clear" w:color="auto" w:fill="FFFFFF"/>
        <w:spacing w:after="150" w:line="240" w:lineRule="auto"/>
        <w:outlineLvl w:val="3"/>
        <w:rPr>
          <w:rFonts w:ascii="Helvetica" w:eastAsia="Times New Roman" w:hAnsi="Helvetica" w:cs="Helvetica"/>
          <w:b/>
          <w:bCs/>
          <w:caps/>
          <w:sz w:val="23"/>
          <w:szCs w:val="23"/>
          <w:lang w:eastAsia="it-IT"/>
        </w:rPr>
      </w:pPr>
      <w:r w:rsidRPr="00A55157">
        <w:rPr>
          <w:rFonts w:ascii="Helvetica" w:eastAsia="Times New Roman" w:hAnsi="Helvetica" w:cs="Helvetica"/>
          <w:b/>
          <w:bCs/>
          <w:caps/>
          <w:sz w:val="23"/>
          <w:szCs w:val="23"/>
          <w:lang w:eastAsia="it-IT"/>
        </w:rPr>
        <w:t>LODE</w:t>
      </w:r>
    </w:p>
    <w:p w:rsidR="00027964" w:rsidRPr="00A55157" w:rsidRDefault="00027964" w:rsidP="00027964">
      <w:pPr>
        <w:shd w:val="clear" w:color="auto" w:fill="FFFFFF"/>
        <w:spacing w:after="150" w:line="300" w:lineRule="atLeast"/>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Indipendentemente dal tipo di tesi redatta, Il regolamento didattico di ateneo prevede che la lode possa essere attribuita a chi raggiunge il punteggio di 110/110 all’unanimità della commissione.</w:t>
      </w:r>
      <w:r w:rsidRPr="00A55157">
        <w:rPr>
          <w:rFonts w:ascii="Helvetica" w:eastAsia="Times New Roman" w:hAnsi="Helvetica" w:cs="Helvetica"/>
          <w:sz w:val="21"/>
          <w:szCs w:val="21"/>
          <w:lang w:eastAsia="it-IT"/>
        </w:rPr>
        <w:br/>
        <w:t xml:space="preserve">Si propone che, su richiesta del relatore, la lode possa essere attribuita tenendo </w:t>
      </w:r>
      <w:proofErr w:type="gramStart"/>
      <w:r w:rsidRPr="00A55157">
        <w:rPr>
          <w:rFonts w:ascii="Helvetica" w:eastAsia="Times New Roman" w:hAnsi="Helvetica" w:cs="Helvetica"/>
          <w:sz w:val="21"/>
          <w:szCs w:val="21"/>
          <w:lang w:eastAsia="it-IT"/>
        </w:rPr>
        <w:t>conto:</w:t>
      </w:r>
      <w:r w:rsidRPr="00A55157">
        <w:rPr>
          <w:rFonts w:ascii="Helvetica" w:eastAsia="Times New Roman" w:hAnsi="Helvetica" w:cs="Helvetica"/>
          <w:sz w:val="21"/>
          <w:szCs w:val="21"/>
          <w:lang w:eastAsia="it-IT"/>
        </w:rPr>
        <w:br/>
        <w:t>a.</w:t>
      </w:r>
      <w:proofErr w:type="gramEnd"/>
      <w:r w:rsidRPr="00A55157">
        <w:rPr>
          <w:rFonts w:ascii="Helvetica" w:eastAsia="Times New Roman" w:hAnsi="Helvetica" w:cs="Helvetica"/>
          <w:sz w:val="21"/>
          <w:szCs w:val="21"/>
          <w:lang w:eastAsia="it-IT"/>
        </w:rPr>
        <w:t xml:space="preserve">         </w:t>
      </w:r>
      <w:proofErr w:type="gramStart"/>
      <w:r w:rsidRPr="00A55157">
        <w:rPr>
          <w:rFonts w:ascii="Helvetica" w:eastAsia="Times New Roman" w:hAnsi="Helvetica" w:cs="Helvetica"/>
          <w:sz w:val="21"/>
          <w:szCs w:val="21"/>
          <w:lang w:eastAsia="it-IT"/>
        </w:rPr>
        <w:t>della</w:t>
      </w:r>
      <w:proofErr w:type="gramEnd"/>
      <w:r w:rsidRPr="00A55157">
        <w:rPr>
          <w:rFonts w:ascii="Helvetica" w:eastAsia="Times New Roman" w:hAnsi="Helvetica" w:cs="Helvetica"/>
          <w:sz w:val="21"/>
          <w:szCs w:val="21"/>
          <w:lang w:eastAsia="it-IT"/>
        </w:rPr>
        <w:t xml:space="preserve"> presenza di lodi in carriera;</w:t>
      </w:r>
      <w:r w:rsidRPr="00A55157">
        <w:rPr>
          <w:rFonts w:ascii="Helvetica" w:eastAsia="Times New Roman" w:hAnsi="Helvetica" w:cs="Helvetica"/>
          <w:sz w:val="21"/>
          <w:szCs w:val="21"/>
          <w:lang w:eastAsia="it-IT"/>
        </w:rPr>
        <w:br/>
        <w:t xml:space="preserve">b.         </w:t>
      </w:r>
      <w:proofErr w:type="gramStart"/>
      <w:r w:rsidRPr="00A55157">
        <w:rPr>
          <w:rFonts w:ascii="Helvetica" w:eastAsia="Times New Roman" w:hAnsi="Helvetica" w:cs="Helvetica"/>
          <w:sz w:val="21"/>
          <w:szCs w:val="21"/>
          <w:lang w:eastAsia="it-IT"/>
        </w:rPr>
        <w:t>dell’esposizione</w:t>
      </w:r>
      <w:proofErr w:type="gramEnd"/>
      <w:r w:rsidRPr="00A55157">
        <w:rPr>
          <w:rFonts w:ascii="Helvetica" w:eastAsia="Times New Roman" w:hAnsi="Helvetica" w:cs="Helvetica"/>
          <w:sz w:val="21"/>
          <w:szCs w:val="21"/>
          <w:lang w:eastAsia="it-IT"/>
        </w:rPr>
        <w:t xml:space="preserve"> e dell’eventuale discussione;</w:t>
      </w:r>
    </w:p>
    <w:p w:rsidR="00027964" w:rsidRPr="00A55157" w:rsidRDefault="00027964" w:rsidP="00027964">
      <w:pPr>
        <w:shd w:val="clear" w:color="auto" w:fill="FFFFFF"/>
        <w:spacing w:after="150" w:line="240" w:lineRule="auto"/>
        <w:outlineLvl w:val="3"/>
        <w:rPr>
          <w:rFonts w:ascii="Helvetica" w:eastAsia="Times New Roman" w:hAnsi="Helvetica" w:cs="Helvetica"/>
          <w:b/>
          <w:bCs/>
          <w:caps/>
          <w:sz w:val="23"/>
          <w:szCs w:val="23"/>
          <w:lang w:eastAsia="it-IT"/>
        </w:rPr>
      </w:pPr>
      <w:r w:rsidRPr="00A55157">
        <w:rPr>
          <w:rFonts w:ascii="Helvetica" w:eastAsia="Times New Roman" w:hAnsi="Helvetica" w:cs="Helvetica"/>
          <w:b/>
          <w:bCs/>
          <w:caps/>
          <w:sz w:val="23"/>
          <w:szCs w:val="23"/>
          <w:lang w:eastAsia="it-IT"/>
        </w:rPr>
        <w:t>MENZIONE E DIGNITÀ DI STAMPA</w:t>
      </w:r>
    </w:p>
    <w:p w:rsidR="00027964" w:rsidRPr="00A55157" w:rsidRDefault="00027964" w:rsidP="00C95038">
      <w:pPr>
        <w:shd w:val="clear" w:color="auto" w:fill="FFFFFF"/>
        <w:spacing w:after="150" w:line="300" w:lineRule="atLeast"/>
        <w:jc w:val="both"/>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Indipendentemente dal tipo di tesi redatta, la menzione può essere richiesta sulla base della carriera del candidato che deve avere entrambi i seguenti requisiti necessari:</w:t>
      </w:r>
    </w:p>
    <w:p w:rsidR="00027964" w:rsidRPr="00A55157" w:rsidRDefault="00027964" w:rsidP="00027964">
      <w:pPr>
        <w:numPr>
          <w:ilvl w:val="0"/>
          <w:numId w:val="14"/>
        </w:numPr>
        <w:shd w:val="clear" w:color="auto" w:fill="FFFFFF"/>
        <w:spacing w:before="100" w:beforeAutospacing="1" w:after="100" w:afterAutospacing="1" w:line="300" w:lineRule="atLeast"/>
        <w:ind w:left="375"/>
        <w:rPr>
          <w:rFonts w:ascii="Helvetica" w:eastAsia="Times New Roman" w:hAnsi="Helvetica" w:cs="Helvetica"/>
          <w:sz w:val="21"/>
          <w:szCs w:val="21"/>
          <w:lang w:eastAsia="it-IT"/>
        </w:rPr>
      </w:pPr>
      <w:proofErr w:type="gramStart"/>
      <w:r w:rsidRPr="00A55157">
        <w:rPr>
          <w:rFonts w:ascii="Helvetica" w:eastAsia="Times New Roman" w:hAnsi="Helvetica" w:cs="Helvetica"/>
          <w:sz w:val="21"/>
          <w:szCs w:val="21"/>
          <w:lang w:eastAsia="it-IT"/>
        </w:rPr>
        <w:t>essere</w:t>
      </w:r>
      <w:proofErr w:type="gramEnd"/>
      <w:r w:rsidRPr="00A55157">
        <w:rPr>
          <w:rFonts w:ascii="Helvetica" w:eastAsia="Times New Roman" w:hAnsi="Helvetica" w:cs="Helvetica"/>
          <w:sz w:val="21"/>
          <w:szCs w:val="21"/>
          <w:lang w:eastAsia="it-IT"/>
        </w:rPr>
        <w:t xml:space="preserve"> in corso</w:t>
      </w:r>
    </w:p>
    <w:p w:rsidR="00027964" w:rsidRPr="00A55157" w:rsidRDefault="00027964" w:rsidP="00027964">
      <w:pPr>
        <w:numPr>
          <w:ilvl w:val="0"/>
          <w:numId w:val="14"/>
        </w:numPr>
        <w:shd w:val="clear" w:color="auto" w:fill="FFFFFF"/>
        <w:spacing w:before="100" w:beforeAutospacing="1" w:after="100" w:afterAutospacing="1" w:line="300" w:lineRule="atLeast"/>
        <w:ind w:left="375"/>
        <w:rPr>
          <w:rFonts w:ascii="Helvetica" w:eastAsia="Times New Roman" w:hAnsi="Helvetica" w:cs="Helvetica"/>
          <w:sz w:val="21"/>
          <w:szCs w:val="21"/>
          <w:lang w:eastAsia="it-IT"/>
        </w:rPr>
      </w:pPr>
      <w:proofErr w:type="gramStart"/>
      <w:r w:rsidRPr="00A55157">
        <w:rPr>
          <w:rFonts w:ascii="Helvetica" w:eastAsia="Times New Roman" w:hAnsi="Helvetica" w:cs="Helvetica"/>
          <w:sz w:val="21"/>
          <w:szCs w:val="21"/>
          <w:lang w:eastAsia="it-IT"/>
        </w:rPr>
        <w:t>avere</w:t>
      </w:r>
      <w:proofErr w:type="gramEnd"/>
      <w:r w:rsidRPr="00A55157">
        <w:rPr>
          <w:rFonts w:ascii="Helvetica" w:eastAsia="Times New Roman" w:hAnsi="Helvetica" w:cs="Helvetica"/>
          <w:sz w:val="21"/>
          <w:szCs w:val="21"/>
          <w:lang w:eastAsia="it-IT"/>
        </w:rPr>
        <w:t xml:space="preserve"> voto di base di 106.</w:t>
      </w:r>
    </w:p>
    <w:p w:rsidR="00027964" w:rsidRPr="00A55157" w:rsidRDefault="00027964" w:rsidP="00C95038">
      <w:pPr>
        <w:shd w:val="clear" w:color="auto" w:fill="FFFFFF"/>
        <w:spacing w:after="150" w:line="300" w:lineRule="atLeast"/>
        <w:jc w:val="both"/>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La dignità di stampa riguarda la qualità del lavoro svolto.</w:t>
      </w:r>
      <w:r w:rsidRPr="00A55157">
        <w:rPr>
          <w:rFonts w:ascii="Helvetica" w:eastAsia="Times New Roman" w:hAnsi="Helvetica" w:cs="Helvetica"/>
          <w:sz w:val="21"/>
          <w:szCs w:val="21"/>
          <w:lang w:eastAsia="it-IT"/>
        </w:rPr>
        <w:br/>
        <w:t>Ciascun titolo onorifico deve essere richiesto dal relatore con opportuna motivazione e approvato all’unanimità dalla commissione.</w:t>
      </w:r>
    </w:p>
    <w:p w:rsidR="00027964" w:rsidRPr="00A55157" w:rsidRDefault="00027964" w:rsidP="00027964">
      <w:pPr>
        <w:shd w:val="clear" w:color="auto" w:fill="FFFFFF"/>
        <w:spacing w:after="150" w:line="240" w:lineRule="auto"/>
        <w:outlineLvl w:val="2"/>
        <w:rPr>
          <w:rFonts w:ascii="Helvetica" w:eastAsia="Times New Roman" w:hAnsi="Helvetica" w:cs="Helvetica"/>
          <w:b/>
          <w:bCs/>
          <w:caps/>
          <w:sz w:val="27"/>
          <w:szCs w:val="27"/>
          <w:lang w:eastAsia="it-IT"/>
        </w:rPr>
      </w:pPr>
      <w:r w:rsidRPr="00A55157">
        <w:rPr>
          <w:rFonts w:ascii="Helvetica" w:eastAsia="Times New Roman" w:hAnsi="Helvetica" w:cs="Helvetica"/>
          <w:b/>
          <w:bCs/>
          <w:caps/>
          <w:sz w:val="27"/>
          <w:szCs w:val="27"/>
          <w:lang w:eastAsia="it-IT"/>
        </w:rPr>
        <w:t>SOVRAPPOSIZIONE DI TESI E TIROCINIO</w:t>
      </w:r>
    </w:p>
    <w:p w:rsidR="00027964" w:rsidRPr="00A55157" w:rsidRDefault="00027964" w:rsidP="00027964">
      <w:pPr>
        <w:shd w:val="clear" w:color="auto" w:fill="FFFFFF"/>
        <w:spacing w:after="150" w:line="300" w:lineRule="atLeast"/>
        <w:rPr>
          <w:rFonts w:ascii="Helvetica" w:eastAsia="Times New Roman" w:hAnsi="Helvetica" w:cs="Helvetica"/>
          <w:sz w:val="21"/>
          <w:szCs w:val="21"/>
          <w:lang w:eastAsia="it-IT"/>
        </w:rPr>
      </w:pPr>
      <w:r w:rsidRPr="00A55157">
        <w:rPr>
          <w:rFonts w:ascii="Helvetica" w:eastAsia="Times New Roman" w:hAnsi="Helvetica" w:cs="Helvetica"/>
          <w:sz w:val="21"/>
          <w:szCs w:val="21"/>
          <w:lang w:eastAsia="it-IT"/>
        </w:rPr>
        <w:t>E’ stata eliminata la regola di non sovrapponibilità del tirocinio</w:t>
      </w:r>
    </w:p>
    <w:sectPr w:rsidR="00027964" w:rsidRPr="00A55157" w:rsidSect="00A55157">
      <w:pgSz w:w="11906" w:h="16838"/>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08F"/>
    <w:multiLevelType w:val="multilevel"/>
    <w:tmpl w:val="B9BC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6237C"/>
    <w:multiLevelType w:val="multilevel"/>
    <w:tmpl w:val="06A8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B4A8E"/>
    <w:multiLevelType w:val="multilevel"/>
    <w:tmpl w:val="FF50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614E3"/>
    <w:multiLevelType w:val="multilevel"/>
    <w:tmpl w:val="0DA277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3F6363"/>
    <w:multiLevelType w:val="multilevel"/>
    <w:tmpl w:val="38E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11517"/>
    <w:multiLevelType w:val="multilevel"/>
    <w:tmpl w:val="905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A44AF"/>
    <w:multiLevelType w:val="multilevel"/>
    <w:tmpl w:val="71C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6092D"/>
    <w:multiLevelType w:val="multilevel"/>
    <w:tmpl w:val="60F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E2466"/>
    <w:multiLevelType w:val="multilevel"/>
    <w:tmpl w:val="28B4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E2413"/>
    <w:multiLevelType w:val="multilevel"/>
    <w:tmpl w:val="61F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17DA8"/>
    <w:multiLevelType w:val="multilevel"/>
    <w:tmpl w:val="DA02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327E0"/>
    <w:multiLevelType w:val="multilevel"/>
    <w:tmpl w:val="E678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771C45"/>
    <w:multiLevelType w:val="multilevel"/>
    <w:tmpl w:val="6F70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A65E50"/>
    <w:multiLevelType w:val="multilevel"/>
    <w:tmpl w:val="C93CB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7"/>
  </w:num>
  <w:num w:numId="3">
    <w:abstractNumId w:val="4"/>
  </w:num>
  <w:num w:numId="4">
    <w:abstractNumId w:val="6"/>
  </w:num>
  <w:num w:numId="5">
    <w:abstractNumId w:val="1"/>
  </w:num>
  <w:num w:numId="6">
    <w:abstractNumId w:val="0"/>
  </w:num>
  <w:num w:numId="7">
    <w:abstractNumId w:val="8"/>
  </w:num>
  <w:num w:numId="8">
    <w:abstractNumId w:val="13"/>
  </w:num>
  <w:num w:numId="9">
    <w:abstractNumId w:val="10"/>
  </w:num>
  <w:num w:numId="10">
    <w:abstractNumId w:val="11"/>
  </w:num>
  <w:num w:numId="11">
    <w:abstractNumId w:val="3"/>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64"/>
    <w:rsid w:val="00027964"/>
    <w:rsid w:val="000B73CB"/>
    <w:rsid w:val="0083537F"/>
    <w:rsid w:val="0099542C"/>
    <w:rsid w:val="00A23B59"/>
    <w:rsid w:val="00A55157"/>
    <w:rsid w:val="00A67BCC"/>
    <w:rsid w:val="00AF3EB9"/>
    <w:rsid w:val="00C95038"/>
    <w:rsid w:val="00D61A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34E66-24B9-4DA6-8619-09EB7421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02796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0279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27964"/>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027964"/>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027964"/>
    <w:rPr>
      <w:color w:val="0000FF"/>
      <w:u w:val="single"/>
    </w:rPr>
  </w:style>
  <w:style w:type="paragraph" w:styleId="NormaleWeb">
    <w:name w:val="Normal (Web)"/>
    <w:basedOn w:val="Normale"/>
    <w:uiPriority w:val="99"/>
    <w:semiHidden/>
    <w:unhideWhenUsed/>
    <w:rsid w:val="000279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27964"/>
    <w:rPr>
      <w:b/>
      <w:bCs/>
    </w:rPr>
  </w:style>
  <w:style w:type="character" w:customStyle="1" w:styleId="apple-converted-space">
    <w:name w:val="apple-converted-space"/>
    <w:basedOn w:val="Carpredefinitoparagrafo"/>
    <w:rsid w:val="00027964"/>
  </w:style>
  <w:style w:type="paragraph" w:styleId="Paragrafoelenco">
    <w:name w:val="List Paragraph"/>
    <w:basedOn w:val="Normale"/>
    <w:uiPriority w:val="34"/>
    <w:qFormat/>
    <w:rsid w:val="00A5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461</Words>
  <Characters>2632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Mizia</dc:creator>
  <cp:keywords/>
  <dc:description/>
  <cp:lastModifiedBy>Paola Mizia</cp:lastModifiedBy>
  <cp:revision>9</cp:revision>
  <dcterms:created xsi:type="dcterms:W3CDTF">2015-10-06T07:52:00Z</dcterms:created>
  <dcterms:modified xsi:type="dcterms:W3CDTF">2015-10-09T14:18:00Z</dcterms:modified>
</cp:coreProperties>
</file>